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CE6BB" w14:textId="669D3837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Future“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0AC6674B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787479" w:rsidRPr="00787479">
        <w:t>8.</w:t>
      </w:r>
      <w:r w:rsidR="00787479">
        <w:rPr>
          <w:b/>
        </w:rPr>
        <w:t xml:space="preserve"> </w:t>
      </w:r>
      <w:r w:rsidR="00D109E9">
        <w:t xml:space="preserve">Mobilita a stavební prostředí </w:t>
      </w:r>
    </w:p>
    <w:p w14:paraId="14C32C6D" w14:textId="5F8C4120" w:rsidR="00B851B6" w:rsidRDefault="00B851B6" w:rsidP="00404E23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D109E9">
        <w:t>N4</w:t>
      </w:r>
      <w:r w:rsidRPr="00B851B6">
        <w:t xml:space="preserve">: </w:t>
      </w:r>
      <w:r w:rsidR="00D109E9" w:rsidRPr="00D109E9">
        <w:t>Akční plán pro budoucnos</w:t>
      </w:r>
      <w:r w:rsidR="00D109E9">
        <w:t xml:space="preserve">t automobilového průmyslu ČR, </w:t>
      </w:r>
      <w:r w:rsidR="00D109E9" w:rsidRPr="00D109E9">
        <w:t>Vize rozvoje autonomní mobility a A</w:t>
      </w:r>
      <w:r w:rsidR="00D109E9">
        <w:t>kční plán autonomního řízení, N</w:t>
      </w:r>
      <w:r w:rsidR="00D109E9" w:rsidRPr="00D109E9">
        <w:t>ovelizace zákona o silničním provozu, zákona o pozemních komunikacích</w:t>
      </w:r>
      <w:r w:rsidRPr="00B851B6">
        <w:tab/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49BEC0A4" w14:textId="470C3D95" w:rsidR="00091995" w:rsidRPr="00B35B39" w:rsidRDefault="00B851B6" w:rsidP="00B35B39">
      <w:pPr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C20E65">
        <w:rPr>
          <w:b/>
        </w:rPr>
        <w:t>Cíl:</w:t>
      </w:r>
      <w:r w:rsidR="00404E23">
        <w:rPr>
          <w:b/>
        </w:rPr>
        <w:t xml:space="preserve"> </w:t>
      </w:r>
      <w:r w:rsidR="000E319E">
        <w:rPr>
          <w:b/>
        </w:rPr>
        <w:t>Podpořit rozvoj automatizované a auton</w:t>
      </w:r>
      <w:r w:rsidR="00C300C3">
        <w:rPr>
          <w:b/>
        </w:rPr>
        <w:t>omní mobility prostřednictvím</w:t>
      </w:r>
      <w:r w:rsidR="000E319E">
        <w:rPr>
          <w:b/>
        </w:rPr>
        <w:t xml:space="preserve"> </w:t>
      </w:r>
      <w:r w:rsidR="000E319E">
        <w:rPr>
          <w:rFonts w:ascii="Calibri" w:eastAsia="Times New Roman" w:hAnsi="Calibri" w:cs="Calibri"/>
          <w:b/>
          <w:bCs/>
          <w:color w:val="000000"/>
          <w:lang w:eastAsia="cs-CZ"/>
        </w:rPr>
        <w:t>u</w:t>
      </w:r>
      <w:r w:rsidR="00C300C3">
        <w:rPr>
          <w:rFonts w:ascii="Calibri" w:eastAsia="Times New Roman" w:hAnsi="Calibri" w:cs="Calibri"/>
          <w:b/>
          <w:bCs/>
          <w:color w:val="000000"/>
          <w:lang w:eastAsia="cs-CZ"/>
        </w:rPr>
        <w:t>možnění</w:t>
      </w:r>
      <w:r w:rsidR="00404E23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testování a provoz</w:t>
      </w:r>
      <w:r w:rsidR="00C300C3">
        <w:rPr>
          <w:rFonts w:ascii="Calibri" w:eastAsia="Times New Roman" w:hAnsi="Calibri" w:cs="Calibri"/>
          <w:b/>
          <w:bCs/>
          <w:color w:val="000000"/>
          <w:lang w:eastAsia="cs-CZ"/>
        </w:rPr>
        <w:t>u</w:t>
      </w:r>
      <w:r w:rsidR="00404E23" w:rsidRPr="00404E23">
        <w:rPr>
          <w:rFonts w:ascii="Calibri" w:eastAsia="Times New Roman" w:hAnsi="Calibri" w:cs="Calibri"/>
          <w:b/>
          <w:bCs/>
          <w:color w:val="000000"/>
          <w:lang w:eastAsia="cs-CZ"/>
        </w:rPr>
        <w:t xml:space="preserve"> automatizovaných </w:t>
      </w:r>
      <w:r w:rsidR="00404E23">
        <w:rPr>
          <w:rFonts w:ascii="Calibri" w:eastAsia="Times New Roman" w:hAnsi="Calibri" w:cs="Calibri"/>
          <w:b/>
          <w:bCs/>
          <w:color w:val="000000"/>
          <w:lang w:eastAsia="cs-CZ"/>
        </w:rPr>
        <w:t>a autonomních vozidel v uzavřeném a reálném prostředí</w:t>
      </w:r>
      <w:r w:rsidR="00B35B39">
        <w:rPr>
          <w:b/>
        </w:rPr>
        <w:tab/>
      </w:r>
      <w:r w:rsidR="00B35B39">
        <w:rPr>
          <w:b/>
        </w:rPr>
        <w:tab/>
      </w:r>
      <w:bookmarkStart w:id="0" w:name="_GoBack"/>
      <w:bookmarkEnd w:id="0"/>
    </w:p>
    <w:p w14:paraId="7EA7C7B7" w14:textId="209D0407" w:rsidR="00B851B6" w:rsidRDefault="00B851B6" w:rsidP="00B35B39">
      <w:pPr>
        <w:jc w:val="both"/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  <w:r w:rsidR="00404E23" w:rsidRPr="00AE4422">
        <w:t xml:space="preserve">V posledních letech </w:t>
      </w:r>
      <w:r w:rsidR="00404E23">
        <w:t xml:space="preserve">se především technologicky </w:t>
      </w:r>
      <w:r w:rsidR="00404E23" w:rsidRPr="00AE4422">
        <w:t>rychle</w:t>
      </w:r>
      <w:r w:rsidR="00404E23">
        <w:t xml:space="preserve"> rozvíjí</w:t>
      </w:r>
      <w:r w:rsidR="00404E23" w:rsidRPr="00AE4422">
        <w:t xml:space="preserve"> </w:t>
      </w:r>
      <w:r w:rsidR="00404E23">
        <w:t>oblast automatizovaných a autonomních vozidel, která má</w:t>
      </w:r>
      <w:r w:rsidR="00404E23" w:rsidRPr="00AE4422">
        <w:t xml:space="preserve"> </w:t>
      </w:r>
      <w:r w:rsidR="00404E23">
        <w:t>významný dopad na autom</w:t>
      </w:r>
      <w:r w:rsidR="000E319E">
        <w:t xml:space="preserve">obilový průmysl i souvisejících </w:t>
      </w:r>
      <w:proofErr w:type="spellStart"/>
      <w:r w:rsidR="000E319E">
        <w:t>mobilitní</w:t>
      </w:r>
      <w:proofErr w:type="spellEnd"/>
      <w:r w:rsidR="000E319E">
        <w:t xml:space="preserve"> služ</w:t>
      </w:r>
      <w:r w:rsidR="00404E23">
        <w:t>b</w:t>
      </w:r>
      <w:r w:rsidR="000E319E">
        <w:t>y</w:t>
      </w:r>
      <w:r w:rsidR="00404E23">
        <w:t xml:space="preserve">. Pro ČR a její ekonomiku je </w:t>
      </w:r>
      <w:r w:rsidR="000E319E">
        <w:t xml:space="preserve">významný </w:t>
      </w:r>
      <w:r w:rsidR="00404E23">
        <w:t xml:space="preserve">tradičně silný sektor </w:t>
      </w:r>
      <w:proofErr w:type="spellStart"/>
      <w:r w:rsidR="00404E23">
        <w:t>automotive</w:t>
      </w:r>
      <w:proofErr w:type="spellEnd"/>
      <w:r w:rsidR="00404E23">
        <w:t xml:space="preserve"> (9% českého HDP, čtvrtina exportu, cca 170 000 přímo zaměstnaných osob a navazující odvětví další 400 000) s vysokým inovačním potenciálem a průniky s mnoha rychle se rozvíjejícími oblastmi (</w:t>
      </w:r>
      <w:proofErr w:type="spellStart"/>
      <w:r w:rsidR="00404E23">
        <w:t>IoT</w:t>
      </w:r>
      <w:proofErr w:type="spellEnd"/>
      <w:r w:rsidR="00404E23">
        <w:t xml:space="preserve">, AI, digitalizace). </w:t>
      </w:r>
      <w:r w:rsidR="000E319E">
        <w:t>Konkurenceschopnost tohoto odvětví a s tím související konkurenceschopnost ČR jsou přímo spojeny s včasným a komplexním zachycením trendu, který bude v příštích letech spoluurčovat podobu dopravy, dopravních systémů, služeb a v konečném důsledku také kvality života obyvatel. Z těchto důvodu a i s ohledem na evropskou a především mimoevropskou konkurenci je nezbytné cíleně podpořit rozvoj automatizované a autonomní mobility pros</w:t>
      </w:r>
      <w:r w:rsidR="00B35B39">
        <w:t>třednictvím uvedených nástroj</w:t>
      </w:r>
      <w:r w:rsidR="00E91731">
        <w:t>ů</w:t>
      </w:r>
      <w:r w:rsidR="00B35B39">
        <w:t xml:space="preserve"> a </w:t>
      </w:r>
      <w:r w:rsidR="000E319E">
        <w:t xml:space="preserve">jejich konkrétních opatření včetně odpovídající finančního pokrytí. </w:t>
      </w: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3B4705B2" w14:textId="44358821" w:rsidR="004420FF" w:rsidRDefault="00C300C3" w:rsidP="004420FF">
      <w:pPr>
        <w:pStyle w:val="Odstavecseseznamem"/>
        <w:numPr>
          <w:ilvl w:val="0"/>
          <w:numId w:val="10"/>
        </w:numPr>
        <w:spacing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4420FF">
        <w:rPr>
          <w:rFonts w:ascii="Calibri" w:eastAsia="Times New Roman" w:hAnsi="Calibri" w:cs="Calibri"/>
          <w:bCs/>
          <w:color w:val="000000"/>
          <w:lang w:eastAsia="cs-CZ"/>
        </w:rPr>
        <w:t>Vytvoření Katalogu testovacích</w:t>
      </w:r>
      <w:r w:rsidR="00B35B39">
        <w:rPr>
          <w:rFonts w:ascii="Calibri" w:eastAsia="Times New Roman" w:hAnsi="Calibri" w:cs="Calibri"/>
          <w:bCs/>
          <w:color w:val="000000"/>
          <w:lang w:eastAsia="cs-CZ"/>
        </w:rPr>
        <w:t xml:space="preserve"> oblastí pro autonomní vozidla</w:t>
      </w:r>
    </w:p>
    <w:p w14:paraId="745DCE6D" w14:textId="423014E8" w:rsidR="00B35B39" w:rsidRPr="00B35B39" w:rsidRDefault="00B35B39" w:rsidP="00B35B39">
      <w:pPr>
        <w:spacing w:after="0"/>
        <w:ind w:left="1416"/>
        <w:jc w:val="both"/>
      </w:pPr>
      <w:r w:rsidRPr="00B35B39">
        <w:rPr>
          <w:rFonts w:ascii="Calibri" w:eastAsia="Times New Roman" w:hAnsi="Calibri" w:cs="Calibri"/>
          <w:bCs/>
          <w:i/>
          <w:color w:val="000000"/>
          <w:lang w:eastAsia="cs-CZ"/>
        </w:rPr>
        <w:t>Výstup: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</w:t>
      </w:r>
      <w:r w:rsidRPr="00F1646B">
        <w:t>webová aplikace obsahující data využitelná pro následné testování syst</w:t>
      </w:r>
      <w:r>
        <w:t>émů autonomních vozidel v reálném provozu, čímž bude umožněn rozvoj testování.</w:t>
      </w:r>
    </w:p>
    <w:p w14:paraId="046D5EB8" w14:textId="77777777" w:rsidR="00B35B39" w:rsidRDefault="00C300C3" w:rsidP="00B35B39">
      <w:pPr>
        <w:pStyle w:val="Odstavecseseznamem"/>
        <w:numPr>
          <w:ilvl w:val="0"/>
          <w:numId w:val="10"/>
        </w:numPr>
        <w:spacing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4420FF">
        <w:rPr>
          <w:rFonts w:ascii="Calibri" w:eastAsia="Times New Roman" w:hAnsi="Calibri" w:cs="Calibri"/>
          <w:bCs/>
          <w:color w:val="000000"/>
          <w:lang w:eastAsia="cs-CZ"/>
        </w:rPr>
        <w:t>Vybudování Polygonu pro výzkum, vývoj a</w:t>
      </w:r>
      <w:r w:rsidR="004420FF" w:rsidRPr="004420FF">
        <w:rPr>
          <w:rFonts w:ascii="Calibri" w:eastAsia="Times New Roman" w:hAnsi="Calibri" w:cs="Calibri"/>
          <w:bCs/>
          <w:color w:val="000000"/>
          <w:lang w:eastAsia="cs-CZ"/>
        </w:rPr>
        <w:t xml:space="preserve"> testování datově propojených a </w:t>
      </w:r>
      <w:r w:rsidRPr="004420FF">
        <w:rPr>
          <w:rFonts w:ascii="Calibri" w:eastAsia="Times New Roman" w:hAnsi="Calibri" w:cs="Calibri"/>
          <w:bCs/>
          <w:color w:val="000000"/>
          <w:lang w:eastAsia="cs-CZ"/>
        </w:rPr>
        <w:t>automatizovaných vozidel</w:t>
      </w:r>
      <w:r w:rsidR="004420FF">
        <w:rPr>
          <w:rFonts w:ascii="Calibri" w:eastAsia="Times New Roman" w:hAnsi="Calibri" w:cs="Calibri"/>
          <w:bCs/>
          <w:color w:val="000000"/>
          <w:lang w:eastAsia="cs-CZ"/>
        </w:rPr>
        <w:t xml:space="preserve"> v ČR</w:t>
      </w:r>
      <w:r w:rsidR="004420FF" w:rsidRPr="004420FF">
        <w:rPr>
          <w:rFonts w:ascii="Calibri" w:eastAsia="Times New Roman" w:hAnsi="Calibri" w:cs="Calibri"/>
          <w:bCs/>
          <w:color w:val="000000"/>
          <w:lang w:eastAsia="cs-CZ"/>
        </w:rPr>
        <w:t xml:space="preserve"> (v případě, že bude doporučeno Studií příležitostí)</w:t>
      </w:r>
    </w:p>
    <w:p w14:paraId="7EA83687" w14:textId="0E156956" w:rsidR="004420FF" w:rsidRPr="00B35B39" w:rsidRDefault="00B35B39" w:rsidP="00B35B39">
      <w:pPr>
        <w:spacing w:after="0"/>
        <w:ind w:left="1416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B35B39">
        <w:rPr>
          <w:rFonts w:ascii="Calibri" w:eastAsia="Times New Roman" w:hAnsi="Calibri" w:cs="Calibri"/>
          <w:bCs/>
          <w:i/>
          <w:color w:val="000000"/>
          <w:lang w:eastAsia="cs-CZ"/>
        </w:rPr>
        <w:t>Výstup: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 předpokládaná výstavba Polygonu, které však bude předcházet </w:t>
      </w:r>
      <w:r w:rsidR="00E91731">
        <w:rPr>
          <w:rFonts w:ascii="Calibri" w:eastAsia="Times New Roman" w:hAnsi="Calibri" w:cs="Calibri"/>
          <w:bCs/>
          <w:color w:val="000000"/>
          <w:lang w:eastAsia="cs-CZ"/>
        </w:rPr>
        <w:t>vy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pracování komplexní Studie příležitostí </w:t>
      </w:r>
      <w:r w:rsidRPr="004420FF">
        <w:rPr>
          <w:rFonts w:ascii="Calibri" w:eastAsia="Times New Roman" w:hAnsi="Calibri" w:cs="Calibri"/>
          <w:bCs/>
          <w:color w:val="000000"/>
          <w:lang w:eastAsia="cs-CZ"/>
        </w:rPr>
        <w:t>„Posouzení strategické a ekonomické výhodnosti stavby polygonu pro výzkum a vývoj, testování a schvalování datově propojených vozidel a vozidel s automatizovaným řízením v České republice“</w:t>
      </w:r>
      <w:r>
        <w:rPr>
          <w:rFonts w:ascii="Calibri" w:eastAsia="Times New Roman" w:hAnsi="Calibri" w:cs="Calibri"/>
          <w:bCs/>
          <w:color w:val="000000"/>
          <w:lang w:eastAsia="cs-CZ"/>
        </w:rPr>
        <w:t xml:space="preserve">, která má za cíl </w:t>
      </w:r>
      <w:r>
        <w:t>zmapovat výchozí stav pro vybudování a provoz P</w:t>
      </w:r>
      <w:r w:rsidRPr="00AE4422">
        <w:t>olygo</w:t>
      </w:r>
      <w:r>
        <w:t>nu a jeho ekonomick</w:t>
      </w:r>
      <w:r w:rsidR="00E91731">
        <w:t>ou</w:t>
      </w:r>
      <w:r>
        <w:t xml:space="preserve"> návratnost</w:t>
      </w:r>
      <w:r>
        <w:rPr>
          <w:rFonts w:ascii="Calibri" w:eastAsia="Times New Roman" w:hAnsi="Calibri" w:cs="Calibri"/>
          <w:bCs/>
          <w:color w:val="000000"/>
          <w:lang w:eastAsia="cs-CZ"/>
        </w:rPr>
        <w:t>. Na základě jejích výstupů a doporučení bude rozhodnuto o plnění tohoto opatření.</w:t>
      </w:r>
    </w:p>
    <w:p w14:paraId="5B4866C7" w14:textId="334CCDA9" w:rsidR="00C300C3" w:rsidRDefault="00C300C3" w:rsidP="00B35B39">
      <w:pPr>
        <w:pStyle w:val="Odstavecseseznamem"/>
        <w:numPr>
          <w:ilvl w:val="0"/>
          <w:numId w:val="10"/>
        </w:numPr>
        <w:spacing w:after="0"/>
        <w:jc w:val="both"/>
        <w:rPr>
          <w:rFonts w:ascii="Calibri" w:eastAsia="Times New Roman" w:hAnsi="Calibri" w:cs="Calibri"/>
          <w:bCs/>
          <w:color w:val="000000"/>
          <w:lang w:eastAsia="cs-CZ"/>
        </w:rPr>
      </w:pPr>
      <w:r w:rsidRPr="004420FF">
        <w:rPr>
          <w:rFonts w:ascii="Calibri" w:eastAsia="Times New Roman" w:hAnsi="Calibri" w:cs="Calibri"/>
          <w:bCs/>
          <w:color w:val="000000"/>
          <w:lang w:eastAsia="cs-CZ"/>
        </w:rPr>
        <w:t>Analýza právního prostředí a identifikace případných změn potřebných pro provoz automatizovaných vozidel</w:t>
      </w:r>
    </w:p>
    <w:p w14:paraId="5523A618" w14:textId="3F0832A5" w:rsidR="00C300C3" w:rsidRPr="00B35B39" w:rsidRDefault="00B35B39" w:rsidP="00B35B39">
      <w:pPr>
        <w:ind w:left="1416"/>
        <w:jc w:val="both"/>
      </w:pPr>
      <w:r w:rsidRPr="00B35B39">
        <w:rPr>
          <w:i/>
        </w:rPr>
        <w:t>Výstup:</w:t>
      </w:r>
      <w:r>
        <w:t xml:space="preserve"> </w:t>
      </w:r>
      <w:r w:rsidR="004420FF">
        <w:t>ucelená doporučení a návrhy na změny příslušných právních předpisů nezbytných pro provoz automatizovaných vozidel v ČR.</w:t>
      </w:r>
    </w:p>
    <w:p w14:paraId="5FA7584A" w14:textId="696504B9" w:rsidR="00C20E65" w:rsidRPr="00C20E65" w:rsidRDefault="00D35038" w:rsidP="003B2976">
      <w:pPr>
        <w:spacing w:after="0" w:line="240" w:lineRule="auto"/>
        <w:rPr>
          <w:b/>
        </w:rPr>
      </w:pPr>
      <w:r>
        <w:rPr>
          <w:b/>
        </w:rPr>
        <w:t>Časové milníky:</w:t>
      </w:r>
    </w:p>
    <w:p w14:paraId="31F2FA68" w14:textId="3B514102" w:rsidR="000E73BE" w:rsidRDefault="00D35038" w:rsidP="003B2976">
      <w:pPr>
        <w:spacing w:after="0" w:line="240" w:lineRule="auto"/>
      </w:pPr>
      <w:r>
        <w:t xml:space="preserve"> </w:t>
      </w:r>
      <w:r>
        <w:tab/>
        <w:t>Ad 1</w:t>
      </w:r>
      <w:r w:rsidR="000E73BE">
        <w:t xml:space="preserve">. – </w:t>
      </w:r>
      <w:r w:rsidR="000E73BE">
        <w:tab/>
      </w:r>
      <w:r>
        <w:t xml:space="preserve">Dokončení Katalogu </w:t>
      </w:r>
      <w:r>
        <w:tab/>
      </w:r>
      <w:r>
        <w:tab/>
      </w:r>
      <w:r>
        <w:tab/>
      </w:r>
      <w:r>
        <w:tab/>
      </w:r>
      <w:r w:rsidR="00B35B39">
        <w:tab/>
      </w:r>
      <w:r>
        <w:t>12/2019</w:t>
      </w:r>
      <w:r w:rsidR="000E73BE">
        <w:t xml:space="preserve"> </w:t>
      </w:r>
    </w:p>
    <w:p w14:paraId="517D345B" w14:textId="3737C73D" w:rsidR="00B851B6" w:rsidRDefault="00D35038" w:rsidP="003B2976">
      <w:pPr>
        <w:spacing w:after="0" w:line="240" w:lineRule="auto"/>
      </w:pPr>
      <w:r>
        <w:tab/>
        <w:t>Ad 2</w:t>
      </w:r>
      <w:r w:rsidR="000E73BE">
        <w:t xml:space="preserve">. – </w:t>
      </w:r>
      <w:r w:rsidR="000E73BE">
        <w:tab/>
      </w:r>
      <w:r w:rsidR="00DA0F2D">
        <w:t xml:space="preserve">a) </w:t>
      </w:r>
      <w:r>
        <w:t>Dokončení Studie příležitostí</w:t>
      </w:r>
      <w:r>
        <w:tab/>
      </w:r>
      <w:r>
        <w:tab/>
      </w:r>
      <w:r>
        <w:tab/>
      </w:r>
      <w:r w:rsidR="00B35B39">
        <w:tab/>
      </w:r>
      <w:r>
        <w:t>6/2020</w:t>
      </w:r>
    </w:p>
    <w:p w14:paraId="5EE70B6F" w14:textId="43A87CC0" w:rsidR="00D35038" w:rsidRDefault="00D35038" w:rsidP="00B35B39">
      <w:pPr>
        <w:spacing w:after="0" w:line="240" w:lineRule="auto"/>
      </w:pPr>
      <w:r>
        <w:tab/>
      </w:r>
      <w:r>
        <w:tab/>
      </w:r>
      <w:r w:rsidR="00DA0F2D">
        <w:t xml:space="preserve">b) </w:t>
      </w:r>
      <w:r>
        <w:t>R</w:t>
      </w:r>
      <w:r w:rsidR="00DA0F2D">
        <w:t>ozhodnutí o dalším postupu a zahájení</w:t>
      </w:r>
      <w:r>
        <w:t xml:space="preserve"> </w:t>
      </w:r>
      <w:r w:rsidR="00DA0F2D">
        <w:t>r</w:t>
      </w:r>
      <w:r>
        <w:t>ealizace</w:t>
      </w:r>
      <w:r w:rsidR="00DA0F2D">
        <w:tab/>
      </w:r>
      <w:r w:rsidR="00B35B39">
        <w:t>do 12/2020</w:t>
      </w:r>
      <w:r w:rsidR="00B35B39">
        <w:tab/>
      </w:r>
      <w:r w:rsidR="00B35B39">
        <w:tab/>
      </w:r>
    </w:p>
    <w:p w14:paraId="34E036C4" w14:textId="31C6AD17" w:rsidR="003B2976" w:rsidRPr="00B35B39" w:rsidRDefault="00D35038" w:rsidP="003B2976">
      <w:pPr>
        <w:spacing w:after="0" w:line="240" w:lineRule="auto"/>
      </w:pPr>
      <w:r>
        <w:tab/>
        <w:t>Ad 3</w:t>
      </w:r>
      <w:r w:rsidR="000E73BE">
        <w:t xml:space="preserve">. – </w:t>
      </w:r>
      <w:r w:rsidR="000E73BE">
        <w:tab/>
      </w:r>
      <w:r>
        <w:t>Provedení Analýzy</w:t>
      </w:r>
      <w:r w:rsidR="000E73BE">
        <w:tab/>
      </w:r>
      <w:r w:rsidR="000E73BE">
        <w:tab/>
      </w:r>
      <w:r>
        <w:tab/>
      </w:r>
      <w:r>
        <w:tab/>
      </w:r>
      <w:r w:rsidR="00B35B39">
        <w:tab/>
      </w:r>
      <w:r>
        <w:t>6/2020</w:t>
      </w: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11201110" w14:textId="2DEB0EF1" w:rsidR="003B2976" w:rsidRDefault="003B2976" w:rsidP="003B2976">
      <w:pPr>
        <w:spacing w:after="0" w:line="240" w:lineRule="auto"/>
      </w:pPr>
      <w:r>
        <w:tab/>
        <w:t xml:space="preserve">Ad </w:t>
      </w:r>
      <w:r w:rsidR="00DA0F2D">
        <w:t>1</w:t>
      </w:r>
      <w:r w:rsidR="00D82385">
        <w:t xml:space="preserve">. – </w:t>
      </w:r>
      <w:r w:rsidR="00D82385">
        <w:tab/>
      </w:r>
      <w:r w:rsidR="00DA0F2D">
        <w:t>Dokončení Katalogu</w:t>
      </w:r>
      <w:r w:rsidR="00DA0F2D">
        <w:tab/>
      </w:r>
      <w:r w:rsidR="00D82385">
        <w:tab/>
      </w:r>
      <w:r w:rsidR="00D82385">
        <w:tab/>
      </w:r>
      <w:r w:rsidR="00D82385">
        <w:tab/>
      </w:r>
      <w:r w:rsidR="00B35B39">
        <w:tab/>
      </w:r>
      <w:r w:rsidR="00DA0F2D">
        <w:t>SR</w:t>
      </w:r>
      <w:r>
        <w:t>/</w:t>
      </w:r>
      <w:r w:rsidR="00C46FFD">
        <w:t>stávající</w:t>
      </w:r>
      <w:r>
        <w:t xml:space="preserve"> zdroje </w:t>
      </w:r>
      <w:r>
        <w:tab/>
      </w:r>
    </w:p>
    <w:p w14:paraId="4705816F" w14:textId="2DA9073F" w:rsidR="00DA0F2D" w:rsidRDefault="00DA0F2D" w:rsidP="00DA0F2D">
      <w:pPr>
        <w:spacing w:after="0" w:line="240" w:lineRule="auto"/>
      </w:pPr>
      <w:r>
        <w:tab/>
        <w:t>Ad 2</w:t>
      </w:r>
      <w:r w:rsidR="003B2976">
        <w:t xml:space="preserve">. – </w:t>
      </w:r>
      <w:r w:rsidR="003B2976">
        <w:tab/>
      </w:r>
      <w:r>
        <w:t>a) Dokončení Studie příležitostí</w:t>
      </w:r>
      <w:r>
        <w:tab/>
      </w:r>
      <w:r>
        <w:tab/>
      </w:r>
      <w:r>
        <w:tab/>
      </w:r>
      <w:r w:rsidR="00B35B39">
        <w:tab/>
      </w:r>
      <w:r>
        <w:t>SR/stávající zdroje</w:t>
      </w:r>
    </w:p>
    <w:p w14:paraId="7AE157AB" w14:textId="77777777" w:rsidR="00B35B39" w:rsidRDefault="00DA0F2D" w:rsidP="00B35B39">
      <w:pPr>
        <w:spacing w:after="0" w:line="240" w:lineRule="auto"/>
        <w:ind w:left="1416"/>
      </w:pPr>
      <w:r>
        <w:t xml:space="preserve">b) Rozhodnutí o dalším postupu a zahájení </w:t>
      </w:r>
      <w:r w:rsidR="00B35B39">
        <w:t>realizace</w:t>
      </w:r>
      <w:r>
        <w:tab/>
      </w:r>
      <w:r w:rsidR="00B35B39">
        <w:t>TBD (SR/ESIF/nové zdroje)</w:t>
      </w:r>
    </w:p>
    <w:p w14:paraId="1063A955" w14:textId="2699F1E3" w:rsidR="00DA0F2D" w:rsidRDefault="00DA0F2D" w:rsidP="00B35B39">
      <w:pPr>
        <w:spacing w:after="0" w:line="240" w:lineRule="auto"/>
        <w:ind w:firstLine="708"/>
      </w:pPr>
      <w:r>
        <w:t xml:space="preserve">Ad 3. – </w:t>
      </w:r>
      <w:r>
        <w:tab/>
        <w:t>Provedení Analýzy</w:t>
      </w:r>
      <w:r>
        <w:tab/>
      </w:r>
      <w:r>
        <w:tab/>
      </w:r>
      <w:r>
        <w:tab/>
      </w:r>
      <w:r>
        <w:tab/>
      </w:r>
      <w:r w:rsidR="00B35B39">
        <w:tab/>
      </w:r>
      <w:r>
        <w:t>SR/stávající zdroje</w:t>
      </w:r>
    </w:p>
    <w:p w14:paraId="03B6B32E" w14:textId="146A2476" w:rsidR="00226D35" w:rsidRPr="00C46FFD" w:rsidRDefault="00226D35" w:rsidP="00DA0F2D">
      <w:pPr>
        <w:spacing w:after="0" w:line="240" w:lineRule="auto"/>
      </w:pPr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C1605"/>
    <w:multiLevelType w:val="hybridMultilevel"/>
    <w:tmpl w:val="F4F290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931EB"/>
    <w:multiLevelType w:val="hybridMultilevel"/>
    <w:tmpl w:val="3EB4E744"/>
    <w:lvl w:ilvl="0" w:tplc="15A6FB66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10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319E"/>
    <w:rsid w:val="000E73BE"/>
    <w:rsid w:val="00226D35"/>
    <w:rsid w:val="002C7A4F"/>
    <w:rsid w:val="0036439C"/>
    <w:rsid w:val="0039782C"/>
    <w:rsid w:val="003A3730"/>
    <w:rsid w:val="003B2976"/>
    <w:rsid w:val="003F7793"/>
    <w:rsid w:val="00404E23"/>
    <w:rsid w:val="004420FF"/>
    <w:rsid w:val="0056191F"/>
    <w:rsid w:val="007336FC"/>
    <w:rsid w:val="00760958"/>
    <w:rsid w:val="00787479"/>
    <w:rsid w:val="009D45D1"/>
    <w:rsid w:val="00B107BA"/>
    <w:rsid w:val="00B35B39"/>
    <w:rsid w:val="00B41F5C"/>
    <w:rsid w:val="00B851B6"/>
    <w:rsid w:val="00BB088F"/>
    <w:rsid w:val="00C20E65"/>
    <w:rsid w:val="00C23F27"/>
    <w:rsid w:val="00C300C3"/>
    <w:rsid w:val="00C46FFD"/>
    <w:rsid w:val="00CB7615"/>
    <w:rsid w:val="00D109E9"/>
    <w:rsid w:val="00D35038"/>
    <w:rsid w:val="00D75C83"/>
    <w:rsid w:val="00D82385"/>
    <w:rsid w:val="00DA0F2D"/>
    <w:rsid w:val="00E91731"/>
    <w:rsid w:val="00ED429E"/>
    <w:rsid w:val="00F036A8"/>
    <w:rsid w:val="00F75563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E1C7B561-E5CF-445F-90ED-1E692FA1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Kobera Václav JUDr.</cp:lastModifiedBy>
  <cp:revision>8</cp:revision>
  <dcterms:created xsi:type="dcterms:W3CDTF">2019-08-27T13:55:00Z</dcterms:created>
  <dcterms:modified xsi:type="dcterms:W3CDTF">2019-09-19T07:02:00Z</dcterms:modified>
</cp:coreProperties>
</file>